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C76" w:rsidRPr="006A3D3B" w:rsidRDefault="00784C76">
      <w:pPr>
        <w:spacing w:line="480" w:lineRule="auto"/>
        <w:jc w:val="center"/>
        <w:rPr>
          <w:rFonts w:ascii="Times New Roman" w:hAnsi="Times New Roman" w:cs="Times New Roman"/>
          <w:sz w:val="24"/>
          <w:szCs w:val="24"/>
        </w:rPr>
      </w:pPr>
    </w:p>
    <w:p w:rsidR="00784C76" w:rsidRPr="006A3D3B" w:rsidRDefault="00784C76">
      <w:pPr>
        <w:spacing w:line="480" w:lineRule="auto"/>
        <w:jc w:val="center"/>
        <w:rPr>
          <w:rFonts w:ascii="Times New Roman" w:hAnsi="Times New Roman" w:cs="Times New Roman"/>
          <w:sz w:val="24"/>
          <w:szCs w:val="24"/>
        </w:rPr>
      </w:pPr>
    </w:p>
    <w:p w:rsidR="00784C76" w:rsidRPr="006A3D3B" w:rsidRDefault="00784C76">
      <w:pPr>
        <w:spacing w:line="480" w:lineRule="auto"/>
        <w:jc w:val="center"/>
        <w:rPr>
          <w:rFonts w:ascii="Times New Roman" w:hAnsi="Times New Roman" w:cs="Times New Roman"/>
          <w:sz w:val="24"/>
          <w:szCs w:val="24"/>
        </w:rPr>
      </w:pPr>
    </w:p>
    <w:p w:rsidR="00784C76" w:rsidRPr="006A3D3B" w:rsidRDefault="00784C76">
      <w:pPr>
        <w:spacing w:line="480" w:lineRule="auto"/>
        <w:jc w:val="center"/>
        <w:rPr>
          <w:rFonts w:ascii="Times New Roman" w:hAnsi="Times New Roman" w:cs="Times New Roman"/>
          <w:sz w:val="24"/>
          <w:szCs w:val="24"/>
        </w:rPr>
      </w:pPr>
    </w:p>
    <w:p w:rsidR="00784C76" w:rsidRPr="006A3D3B" w:rsidRDefault="00784C76">
      <w:pPr>
        <w:spacing w:line="480" w:lineRule="auto"/>
        <w:jc w:val="center"/>
        <w:rPr>
          <w:rFonts w:ascii="Times New Roman" w:hAnsi="Times New Roman" w:cs="Times New Roman"/>
          <w:sz w:val="24"/>
          <w:szCs w:val="24"/>
        </w:rPr>
      </w:pPr>
    </w:p>
    <w:p w:rsidR="00784C76" w:rsidRPr="006A3D3B" w:rsidRDefault="00F23A1E">
      <w:pPr>
        <w:spacing w:line="480" w:lineRule="auto"/>
        <w:jc w:val="center"/>
        <w:rPr>
          <w:rFonts w:ascii="Times New Roman" w:hAnsi="Times New Roman" w:cs="Times New Roman"/>
          <w:sz w:val="24"/>
          <w:szCs w:val="24"/>
        </w:rPr>
      </w:pPr>
      <w:r w:rsidRPr="006A3D3B">
        <w:rPr>
          <w:rFonts w:ascii="Times New Roman" w:hAnsi="Times New Roman" w:cs="Times New Roman"/>
          <w:sz w:val="24"/>
          <w:szCs w:val="24"/>
        </w:rPr>
        <w:t>Laws Protecting Consumers</w:t>
      </w:r>
    </w:p>
    <w:p w:rsidR="00784C76" w:rsidRPr="006A3D3B" w:rsidRDefault="00F23A1E">
      <w:pPr>
        <w:spacing w:line="480" w:lineRule="auto"/>
        <w:jc w:val="center"/>
        <w:rPr>
          <w:rFonts w:ascii="Times New Roman" w:hAnsi="Times New Roman" w:cs="Times New Roman"/>
          <w:sz w:val="24"/>
          <w:szCs w:val="24"/>
        </w:rPr>
      </w:pPr>
      <w:r w:rsidRPr="006A3D3B">
        <w:rPr>
          <w:rFonts w:ascii="Times New Roman" w:hAnsi="Times New Roman" w:cs="Times New Roman"/>
          <w:sz w:val="24"/>
          <w:szCs w:val="24"/>
        </w:rPr>
        <w:t>Student Affiliation</w:t>
      </w:r>
    </w:p>
    <w:p w:rsidR="00784C76" w:rsidRPr="006A3D3B" w:rsidRDefault="00F23A1E">
      <w:pPr>
        <w:spacing w:line="480" w:lineRule="auto"/>
        <w:jc w:val="center"/>
        <w:rPr>
          <w:rFonts w:ascii="Times New Roman" w:hAnsi="Times New Roman" w:cs="Times New Roman"/>
          <w:sz w:val="24"/>
          <w:szCs w:val="24"/>
        </w:rPr>
      </w:pPr>
      <w:r w:rsidRPr="006A3D3B">
        <w:rPr>
          <w:rFonts w:ascii="Times New Roman" w:hAnsi="Times New Roman" w:cs="Times New Roman"/>
          <w:sz w:val="24"/>
          <w:szCs w:val="24"/>
        </w:rPr>
        <w:t>Institution Affiliation</w:t>
      </w:r>
    </w:p>
    <w:p w:rsidR="00BE7462" w:rsidRPr="006A3D3B" w:rsidRDefault="00BE7462">
      <w:pPr>
        <w:spacing w:line="480" w:lineRule="auto"/>
        <w:jc w:val="center"/>
        <w:rPr>
          <w:rFonts w:ascii="Times New Roman" w:hAnsi="Times New Roman" w:cs="Times New Roman"/>
          <w:sz w:val="24"/>
          <w:szCs w:val="24"/>
        </w:rPr>
      </w:pPr>
      <w:r w:rsidRPr="006A3D3B">
        <w:rPr>
          <w:rFonts w:ascii="Times New Roman" w:hAnsi="Times New Roman" w:cs="Times New Roman"/>
          <w:sz w:val="24"/>
          <w:szCs w:val="24"/>
        </w:rPr>
        <w:t>Date</w:t>
      </w:r>
    </w:p>
    <w:p w:rsidR="00784C76" w:rsidRPr="006A3D3B" w:rsidRDefault="00F23A1E">
      <w:pPr>
        <w:rPr>
          <w:rFonts w:ascii="Times New Roman" w:hAnsi="Times New Roman" w:cs="Times New Roman"/>
          <w:sz w:val="24"/>
          <w:szCs w:val="24"/>
        </w:rPr>
      </w:pPr>
      <w:r w:rsidRPr="006A3D3B">
        <w:rPr>
          <w:rFonts w:ascii="Times New Roman" w:hAnsi="Times New Roman" w:cs="Times New Roman"/>
          <w:sz w:val="24"/>
          <w:szCs w:val="24"/>
        </w:rPr>
        <w:br w:type="page"/>
      </w:r>
    </w:p>
    <w:p w:rsidR="00784C76" w:rsidRPr="006A3D3B" w:rsidRDefault="00F23A1E">
      <w:pPr>
        <w:spacing w:line="480" w:lineRule="auto"/>
        <w:jc w:val="center"/>
        <w:rPr>
          <w:rFonts w:ascii="Times New Roman" w:hAnsi="Times New Roman" w:cs="Times New Roman"/>
          <w:sz w:val="24"/>
          <w:szCs w:val="24"/>
        </w:rPr>
      </w:pPr>
      <w:r w:rsidRPr="006A3D3B">
        <w:rPr>
          <w:rFonts w:ascii="Times New Roman" w:hAnsi="Times New Roman" w:cs="Times New Roman"/>
          <w:sz w:val="24"/>
          <w:szCs w:val="24"/>
        </w:rPr>
        <w:lastRenderedPageBreak/>
        <w:t>Laws Protecting Consumers</w:t>
      </w:r>
    </w:p>
    <w:p w:rsidR="00784C76" w:rsidRPr="006A3D3B" w:rsidRDefault="00F23A1E" w:rsidP="00BE7462">
      <w:pPr>
        <w:spacing w:line="480" w:lineRule="auto"/>
        <w:jc w:val="center"/>
        <w:rPr>
          <w:rFonts w:ascii="Times New Roman" w:hAnsi="Times New Roman" w:cs="Times New Roman"/>
          <w:sz w:val="24"/>
          <w:szCs w:val="24"/>
        </w:rPr>
      </w:pPr>
      <w:r w:rsidRPr="006A3D3B">
        <w:rPr>
          <w:rFonts w:ascii="Times New Roman" w:hAnsi="Times New Roman" w:cs="Times New Roman"/>
          <w:sz w:val="24"/>
          <w:szCs w:val="24"/>
        </w:rPr>
        <w:t>Part One</w:t>
      </w:r>
    </w:p>
    <w:p w:rsidR="00DC25B5" w:rsidRPr="006A3D3B" w:rsidRDefault="00A141B5" w:rsidP="00A141B5">
      <w:pPr>
        <w:spacing w:line="480" w:lineRule="auto"/>
        <w:ind w:firstLine="720"/>
        <w:rPr>
          <w:rFonts w:ascii="Times New Roman" w:hAnsi="Times New Roman" w:cs="Times New Roman"/>
          <w:sz w:val="24"/>
          <w:szCs w:val="24"/>
        </w:rPr>
      </w:pPr>
      <w:r w:rsidRPr="006A3D3B">
        <w:rPr>
          <w:rFonts w:ascii="Times New Roman" w:hAnsi="Times New Roman" w:cs="Times New Roman"/>
          <w:sz w:val="24"/>
          <w:szCs w:val="24"/>
        </w:rPr>
        <w:t>Internet companies encounter intense pressure to guard contents against misinformation and fraud. Federal communication commission (FCC) is an agency responsible for media regulation and monitoring in America (Cramer, 2008). The agency has the responsibility to determine whether the advertisement is deceptive and take proper action against the advert. The spread of fake news, as well as proliferation of modified narratives by internet users, challenges both the publishers and the platforms</w:t>
      </w:r>
      <w:r w:rsidR="00BE7462" w:rsidRPr="006A3D3B">
        <w:rPr>
          <w:rFonts w:ascii="Times New Roman" w:hAnsi="Times New Roman" w:cs="Times New Roman"/>
          <w:sz w:val="24"/>
          <w:szCs w:val="24"/>
        </w:rPr>
        <w:t>(James, 2019)</w:t>
      </w:r>
      <w:r w:rsidRPr="006A3D3B">
        <w:rPr>
          <w:rFonts w:ascii="Times New Roman" w:hAnsi="Times New Roman" w:cs="Times New Roman"/>
          <w:sz w:val="24"/>
          <w:szCs w:val="24"/>
        </w:rPr>
        <w:t>. Today people are turning on social sites such as Facebook, Twitter and LinkedIn for news feed on businesses, health stories, and climate change among other topics. Although some of the information spread in these social sites are genuine at least a good number of the stories are false, or the message packaging is inappropriate. Some of these internet users are very manipulative. They use various social sites to take advantage of their consumers’ innate preference for convenience and the desire for answers they realize in their reinforcing boom chamber.</w:t>
      </w:r>
    </w:p>
    <w:p w:rsidR="00A141B5" w:rsidRPr="006A3D3B" w:rsidRDefault="00DC25B5" w:rsidP="00DC25B5">
      <w:pPr>
        <w:pStyle w:val="ListParagraph"/>
        <w:numPr>
          <w:ilvl w:val="0"/>
          <w:numId w:val="2"/>
        </w:numPr>
        <w:spacing w:line="480" w:lineRule="auto"/>
        <w:rPr>
          <w:rFonts w:ascii="Times New Roman" w:hAnsi="Times New Roman" w:cs="Times New Roman"/>
          <w:sz w:val="24"/>
          <w:szCs w:val="24"/>
        </w:rPr>
      </w:pPr>
      <w:r w:rsidRPr="006A3D3B">
        <w:rPr>
          <w:rFonts w:ascii="Times New Roman" w:hAnsi="Times New Roman" w:cs="Times New Roman"/>
          <w:sz w:val="24"/>
          <w:szCs w:val="24"/>
        </w:rPr>
        <w:t>Monitoring digital adverts</w:t>
      </w:r>
    </w:p>
    <w:p w:rsidR="00A141B5" w:rsidRPr="006A3D3B" w:rsidRDefault="00510030" w:rsidP="00A141B5">
      <w:pPr>
        <w:spacing w:line="480" w:lineRule="auto"/>
        <w:ind w:firstLine="720"/>
        <w:rPr>
          <w:rFonts w:ascii="Times New Roman" w:hAnsi="Times New Roman" w:cs="Times New Roman"/>
          <w:sz w:val="24"/>
          <w:szCs w:val="24"/>
        </w:rPr>
      </w:pPr>
      <w:r w:rsidRPr="006A3D3B">
        <w:rPr>
          <w:rFonts w:ascii="Times New Roman" w:hAnsi="Times New Roman" w:cs="Times New Roman"/>
          <w:sz w:val="24"/>
          <w:szCs w:val="24"/>
        </w:rPr>
        <w:t>The main goal of regulating</w:t>
      </w:r>
      <w:r w:rsidR="00A141B5" w:rsidRPr="006A3D3B">
        <w:rPr>
          <w:rFonts w:ascii="Times New Roman" w:hAnsi="Times New Roman" w:cs="Times New Roman"/>
          <w:sz w:val="24"/>
          <w:szCs w:val="24"/>
        </w:rPr>
        <w:t xml:space="preserve"> internet companies is to prevent misinformation and fraud </w:t>
      </w:r>
      <w:r w:rsidRPr="006A3D3B">
        <w:rPr>
          <w:rFonts w:ascii="Times New Roman" w:hAnsi="Times New Roman" w:cs="Times New Roman"/>
          <w:sz w:val="24"/>
          <w:szCs w:val="24"/>
        </w:rPr>
        <w:t xml:space="preserve">from </w:t>
      </w:r>
      <w:r w:rsidR="00A141B5" w:rsidRPr="006A3D3B">
        <w:rPr>
          <w:rFonts w:ascii="Times New Roman" w:hAnsi="Times New Roman" w:cs="Times New Roman"/>
          <w:sz w:val="24"/>
          <w:szCs w:val="24"/>
        </w:rPr>
        <w:t>spread</w:t>
      </w:r>
      <w:r w:rsidRPr="006A3D3B">
        <w:rPr>
          <w:rFonts w:ascii="Times New Roman" w:hAnsi="Times New Roman" w:cs="Times New Roman"/>
          <w:sz w:val="24"/>
          <w:szCs w:val="24"/>
        </w:rPr>
        <w:t>ing</w:t>
      </w:r>
      <w:r w:rsidR="00A141B5" w:rsidRPr="006A3D3B">
        <w:rPr>
          <w:rFonts w:ascii="Times New Roman" w:hAnsi="Times New Roman" w:cs="Times New Roman"/>
          <w:sz w:val="24"/>
          <w:szCs w:val="24"/>
        </w:rPr>
        <w:t xml:space="preserve"> in these social sites. Most businesses prefer using social websites to promote their goods and services. Advertising in social sites has been a common thing almost done with every business person. The internet plays a significant role in connecting the advertisers and marketers from different part</w:t>
      </w:r>
      <w:r w:rsidRPr="006A3D3B">
        <w:rPr>
          <w:rFonts w:ascii="Times New Roman" w:hAnsi="Times New Roman" w:cs="Times New Roman"/>
          <w:sz w:val="24"/>
          <w:szCs w:val="24"/>
        </w:rPr>
        <w:t>s</w:t>
      </w:r>
      <w:r w:rsidR="00A141B5" w:rsidRPr="006A3D3B">
        <w:rPr>
          <w:rFonts w:ascii="Times New Roman" w:hAnsi="Times New Roman" w:cs="Times New Roman"/>
          <w:sz w:val="24"/>
          <w:szCs w:val="24"/>
        </w:rPr>
        <w:t xml:space="preserve"> of the world using text, audiovisual images, as well as graphics. However, just like in other forms of advertising, there are rules in electronic advertising. These rules aim at protecting both the consumer and the businesses from fraudster by maintaining the </w:t>
      </w:r>
      <w:r w:rsidR="00A141B5" w:rsidRPr="006A3D3B">
        <w:rPr>
          <w:rFonts w:ascii="Times New Roman" w:hAnsi="Times New Roman" w:cs="Times New Roman"/>
          <w:sz w:val="24"/>
          <w:szCs w:val="24"/>
        </w:rPr>
        <w:lastRenderedPageBreak/>
        <w:t>credibility of electronic media. The Federal Trade Commission Act permits the FCC to act in the consumers’ interest to prevent misleading and unfair practices. Also, the act prohibits deceptive advertising in an electronic medium and the claims posted in this medium should be substantiated specifically if it concerns health issues</w:t>
      </w:r>
      <w:r w:rsidR="00BE7462" w:rsidRPr="006A3D3B">
        <w:rPr>
          <w:rFonts w:ascii="Times New Roman" w:hAnsi="Times New Roman" w:cs="Times New Roman"/>
          <w:sz w:val="24"/>
          <w:szCs w:val="24"/>
        </w:rPr>
        <w:t xml:space="preserve"> (James, 2019).</w:t>
      </w:r>
      <w:r w:rsidR="00A141B5" w:rsidRPr="006A3D3B">
        <w:rPr>
          <w:rFonts w:ascii="Times New Roman" w:hAnsi="Times New Roman" w:cs="Times New Roman"/>
          <w:sz w:val="24"/>
          <w:szCs w:val="24"/>
        </w:rPr>
        <w:t xml:space="preserve"> At the same t</w:t>
      </w:r>
      <w:bookmarkStart w:id="0" w:name="_GoBack"/>
      <w:bookmarkEnd w:id="0"/>
      <w:r w:rsidR="00A141B5" w:rsidRPr="006A3D3B">
        <w:rPr>
          <w:rFonts w:ascii="Times New Roman" w:hAnsi="Times New Roman" w:cs="Times New Roman"/>
          <w:sz w:val="24"/>
          <w:szCs w:val="24"/>
        </w:rPr>
        <w:t>ime, sellers are held responsible for the claims they issue concerning their products and services. Monitoring electronic advert</w:t>
      </w:r>
      <w:r w:rsidR="008F4604" w:rsidRPr="006A3D3B">
        <w:rPr>
          <w:rFonts w:ascii="Times New Roman" w:hAnsi="Times New Roman" w:cs="Times New Roman"/>
          <w:sz w:val="24"/>
          <w:szCs w:val="24"/>
        </w:rPr>
        <w:t>ising is necessary because the</w:t>
      </w:r>
      <w:r w:rsidR="00A141B5" w:rsidRPr="006A3D3B">
        <w:rPr>
          <w:rFonts w:ascii="Times New Roman" w:hAnsi="Times New Roman" w:cs="Times New Roman"/>
          <w:sz w:val="24"/>
          <w:szCs w:val="24"/>
        </w:rPr>
        <w:t xml:space="preserve"> content spread faster and if the information is false, it can be harmful once adopted</w:t>
      </w:r>
      <w:r w:rsidR="008F4604" w:rsidRPr="006A3D3B">
        <w:rPr>
          <w:rFonts w:ascii="Times New Roman" w:hAnsi="Times New Roman" w:cs="Times New Roman"/>
          <w:sz w:val="24"/>
          <w:szCs w:val="24"/>
        </w:rPr>
        <w:t xml:space="preserve"> by</w:t>
      </w:r>
      <w:r w:rsidR="00A141B5" w:rsidRPr="006A3D3B">
        <w:rPr>
          <w:rFonts w:ascii="Times New Roman" w:hAnsi="Times New Roman" w:cs="Times New Roman"/>
          <w:sz w:val="24"/>
          <w:szCs w:val="24"/>
        </w:rPr>
        <w:t xml:space="preserve"> the consumers.</w:t>
      </w:r>
    </w:p>
    <w:p w:rsidR="00DC25B5" w:rsidRPr="006A3D3B" w:rsidRDefault="00DC25B5" w:rsidP="00DC25B5">
      <w:pPr>
        <w:pStyle w:val="ListParagraph"/>
        <w:numPr>
          <w:ilvl w:val="0"/>
          <w:numId w:val="2"/>
        </w:numPr>
        <w:spacing w:line="480" w:lineRule="auto"/>
        <w:rPr>
          <w:rFonts w:ascii="Times New Roman" w:hAnsi="Times New Roman" w:cs="Times New Roman"/>
          <w:sz w:val="24"/>
          <w:szCs w:val="24"/>
        </w:rPr>
      </w:pPr>
      <w:r w:rsidRPr="006A3D3B">
        <w:rPr>
          <w:rFonts w:ascii="Times New Roman" w:hAnsi="Times New Roman" w:cs="Times New Roman"/>
          <w:sz w:val="24"/>
          <w:szCs w:val="24"/>
        </w:rPr>
        <w:t>Protection offered to consumer through FCRA</w:t>
      </w:r>
    </w:p>
    <w:p w:rsidR="00A141B5" w:rsidRPr="006A3D3B" w:rsidRDefault="00A141B5" w:rsidP="00A141B5">
      <w:pPr>
        <w:spacing w:line="480" w:lineRule="auto"/>
        <w:ind w:firstLine="720"/>
        <w:rPr>
          <w:rFonts w:ascii="Times New Roman" w:hAnsi="Times New Roman" w:cs="Times New Roman"/>
          <w:sz w:val="24"/>
          <w:szCs w:val="24"/>
        </w:rPr>
      </w:pPr>
      <w:r w:rsidRPr="006A3D3B">
        <w:rPr>
          <w:rFonts w:ascii="Times New Roman" w:hAnsi="Times New Roman" w:cs="Times New Roman"/>
          <w:sz w:val="24"/>
          <w:szCs w:val="24"/>
        </w:rPr>
        <w:t>The Fair Credit Reporting Act (FCRA) refers to a federal law that standardizes credit reporting agencies by ensuring the information they collect and distribute are entirely accurate. FCRA is concerned with the use of the information gathered by credit reporting agencies regarding the consumers’ credit history (Sickler, 2016). Under FCRA act, there is the protection offered to the consumer. These protections include preventing a bank from engaging in any form of trading as well as obtaining ownership interest in a private equity fund. The act also prohibits the banks from making high-risk investments using funds from the consumers’ accounts.</w:t>
      </w:r>
    </w:p>
    <w:p w:rsidR="00A141B5" w:rsidRPr="006A3D3B" w:rsidRDefault="00A141B5" w:rsidP="00A141B5">
      <w:pPr>
        <w:spacing w:line="480" w:lineRule="auto"/>
        <w:ind w:firstLine="720"/>
        <w:rPr>
          <w:rFonts w:ascii="Times New Roman" w:hAnsi="Times New Roman" w:cs="Times New Roman"/>
          <w:sz w:val="24"/>
          <w:szCs w:val="24"/>
        </w:rPr>
      </w:pPr>
      <w:r w:rsidRPr="006A3D3B">
        <w:rPr>
          <w:rFonts w:ascii="Times New Roman" w:hAnsi="Times New Roman" w:cs="Times New Roman"/>
          <w:sz w:val="24"/>
          <w:szCs w:val="24"/>
        </w:rPr>
        <w:t xml:space="preserve"> In contrast, the Equal Credit Opportunity Act ECOA obliges banks or any credit card companies to offer credit equally to all creditworthy customers. The act protects the consumer from credit discrimination based on the colour, religion, race, nationality, sex or marital status (Kim, 2015). Issues of credit card denial are prevalent, and various reasons can influence them. For instance, expired credit card, wrong information, fraud victim, the consumers might have reached their credit limit and many others. Zipcode address is also impactful in applying for a card. It can lead to card denial in case of mismatch information or other relevant factors like in </w:t>
      </w:r>
      <w:r w:rsidRPr="006A3D3B">
        <w:rPr>
          <w:rFonts w:ascii="Times New Roman" w:hAnsi="Times New Roman" w:cs="Times New Roman"/>
          <w:sz w:val="24"/>
          <w:szCs w:val="24"/>
        </w:rPr>
        <w:lastRenderedPageBreak/>
        <w:t>the case of Machelle</w:t>
      </w:r>
      <w:r w:rsidR="00BE7462" w:rsidRPr="006A3D3B">
        <w:rPr>
          <w:rFonts w:ascii="Times New Roman" w:hAnsi="Times New Roman" w:cs="Times New Roman"/>
          <w:sz w:val="24"/>
          <w:szCs w:val="24"/>
        </w:rPr>
        <w:t xml:space="preserve"> (James, 2019).</w:t>
      </w:r>
      <w:r w:rsidRPr="006A3D3B">
        <w:rPr>
          <w:rFonts w:ascii="Times New Roman" w:hAnsi="Times New Roman" w:cs="Times New Roman"/>
          <w:sz w:val="24"/>
          <w:szCs w:val="24"/>
        </w:rPr>
        <w:t xml:space="preserve"> However, Machelle can still consider regulation B, also known as the Consumer Protection Bureau (CFPB) under ECOA. Regulation B aim</w:t>
      </w:r>
      <w:r w:rsidR="00665593" w:rsidRPr="006A3D3B">
        <w:rPr>
          <w:rFonts w:ascii="Times New Roman" w:hAnsi="Times New Roman" w:cs="Times New Roman"/>
          <w:sz w:val="24"/>
          <w:szCs w:val="24"/>
        </w:rPr>
        <w:t>s</w:t>
      </w:r>
      <w:r w:rsidRPr="006A3D3B">
        <w:rPr>
          <w:rFonts w:ascii="Times New Roman" w:hAnsi="Times New Roman" w:cs="Times New Roman"/>
          <w:sz w:val="24"/>
          <w:szCs w:val="24"/>
        </w:rPr>
        <w:t xml:space="preserve"> at promoting the accessibility of credit to every creditworthy applicant. At the same time, Machelles zip code is a valid factor in her credit application. It is so becau</w:t>
      </w:r>
      <w:r w:rsidR="00665593" w:rsidRPr="006A3D3B">
        <w:rPr>
          <w:rFonts w:ascii="Times New Roman" w:hAnsi="Times New Roman" w:cs="Times New Roman"/>
          <w:sz w:val="24"/>
          <w:szCs w:val="24"/>
        </w:rPr>
        <w:t>se the credit card entails all</w:t>
      </w:r>
      <w:r w:rsidRPr="006A3D3B">
        <w:rPr>
          <w:rFonts w:ascii="Times New Roman" w:hAnsi="Times New Roman" w:cs="Times New Roman"/>
          <w:sz w:val="24"/>
          <w:szCs w:val="24"/>
        </w:rPr>
        <w:t xml:space="preserve"> information issued to the creditors, and in case of a mismatch, the consumer might be denied a credit card.</w:t>
      </w:r>
    </w:p>
    <w:p w:rsidR="00DC25B5" w:rsidRPr="006A3D3B" w:rsidRDefault="00DC25B5" w:rsidP="00DC25B5">
      <w:pPr>
        <w:pStyle w:val="ListParagraph"/>
        <w:numPr>
          <w:ilvl w:val="0"/>
          <w:numId w:val="2"/>
        </w:numPr>
        <w:spacing w:line="480" w:lineRule="auto"/>
        <w:rPr>
          <w:rFonts w:ascii="Times New Roman" w:hAnsi="Times New Roman" w:cs="Times New Roman"/>
          <w:sz w:val="24"/>
          <w:szCs w:val="24"/>
        </w:rPr>
      </w:pPr>
      <w:r w:rsidRPr="006A3D3B">
        <w:rPr>
          <w:rFonts w:ascii="Times New Roman" w:hAnsi="Times New Roman" w:cs="Times New Roman"/>
          <w:sz w:val="24"/>
          <w:szCs w:val="24"/>
        </w:rPr>
        <w:t>Collection Agencies for Debts</w:t>
      </w:r>
    </w:p>
    <w:p w:rsidR="00A141B5" w:rsidRPr="006A3D3B" w:rsidRDefault="00A141B5" w:rsidP="00A141B5">
      <w:pPr>
        <w:spacing w:line="480" w:lineRule="auto"/>
        <w:ind w:firstLine="720"/>
        <w:rPr>
          <w:rFonts w:ascii="Times New Roman" w:hAnsi="Times New Roman" w:cs="Times New Roman"/>
          <w:sz w:val="24"/>
          <w:szCs w:val="24"/>
        </w:rPr>
      </w:pPr>
      <w:r w:rsidRPr="006A3D3B">
        <w:rPr>
          <w:rFonts w:ascii="Times New Roman" w:hAnsi="Times New Roman" w:cs="Times New Roman"/>
          <w:sz w:val="24"/>
          <w:szCs w:val="24"/>
        </w:rPr>
        <w:t>Unlike the traditional bill collectors recently, creditors are transferring their delinquent accounts to debt-collection law corporations. The reason behind this transformation is because they believe that communication from a lawyer speaks louder hence increasing the chances of repayment, and so is the case of Golden and Mayo clinic</w:t>
      </w:r>
      <w:r w:rsidR="00BE7462" w:rsidRPr="006A3D3B">
        <w:rPr>
          <w:rFonts w:ascii="Times New Roman" w:hAnsi="Times New Roman" w:cs="Times New Roman"/>
          <w:sz w:val="24"/>
          <w:szCs w:val="24"/>
        </w:rPr>
        <w:t>(James, 2019).</w:t>
      </w:r>
      <w:r w:rsidRPr="006A3D3B">
        <w:rPr>
          <w:rFonts w:ascii="Times New Roman" w:hAnsi="Times New Roman" w:cs="Times New Roman"/>
          <w:sz w:val="24"/>
          <w:szCs w:val="24"/>
        </w:rPr>
        <w:t xml:space="preserve"> The debt collection agency has every right to contact the debtor using every system of communication. However, there are rules these agencies must follow to avoid violating the Fair Debt Collection Practices Act (Gallo, 2016). The act prohibits the collection agency from issuing threats or insults, from discussing the debt with either family, </w:t>
      </w:r>
      <w:r w:rsidR="00665593" w:rsidRPr="006A3D3B">
        <w:rPr>
          <w:rFonts w:ascii="Times New Roman" w:hAnsi="Times New Roman" w:cs="Times New Roman"/>
          <w:sz w:val="24"/>
          <w:szCs w:val="24"/>
        </w:rPr>
        <w:t>neighbors</w:t>
      </w:r>
      <w:r w:rsidRPr="006A3D3B">
        <w:rPr>
          <w:rFonts w:ascii="Times New Roman" w:hAnsi="Times New Roman" w:cs="Times New Roman"/>
          <w:sz w:val="24"/>
          <w:szCs w:val="24"/>
        </w:rPr>
        <w:t>, friends or employees and finally limits a collector can call in a day.</w:t>
      </w:r>
    </w:p>
    <w:p w:rsidR="00DC25B5" w:rsidRPr="006A3D3B" w:rsidRDefault="00DC25B5" w:rsidP="00DC25B5">
      <w:pPr>
        <w:pStyle w:val="ListParagraph"/>
        <w:numPr>
          <w:ilvl w:val="0"/>
          <w:numId w:val="2"/>
        </w:numPr>
        <w:spacing w:line="480" w:lineRule="auto"/>
        <w:rPr>
          <w:rFonts w:ascii="Times New Roman" w:hAnsi="Times New Roman" w:cs="Times New Roman"/>
          <w:sz w:val="24"/>
          <w:szCs w:val="24"/>
        </w:rPr>
      </w:pPr>
      <w:r w:rsidRPr="006A3D3B">
        <w:rPr>
          <w:rFonts w:ascii="Times New Roman" w:hAnsi="Times New Roman" w:cs="Times New Roman"/>
          <w:sz w:val="24"/>
          <w:szCs w:val="24"/>
        </w:rPr>
        <w:t>National Environmental Policy Act</w:t>
      </w:r>
    </w:p>
    <w:p w:rsidR="00A141B5" w:rsidRPr="006A3D3B" w:rsidRDefault="00A141B5" w:rsidP="00A141B5">
      <w:pPr>
        <w:spacing w:line="480" w:lineRule="auto"/>
        <w:ind w:firstLine="720"/>
        <w:rPr>
          <w:rFonts w:ascii="Times New Roman" w:hAnsi="Times New Roman" w:cs="Times New Roman"/>
          <w:sz w:val="24"/>
          <w:szCs w:val="24"/>
        </w:rPr>
      </w:pPr>
      <w:r w:rsidRPr="006A3D3B">
        <w:rPr>
          <w:rFonts w:ascii="Times New Roman" w:hAnsi="Times New Roman" w:cs="Times New Roman"/>
          <w:sz w:val="24"/>
          <w:szCs w:val="24"/>
        </w:rPr>
        <w:t xml:space="preserve">The United States is a leading country in the production of nuclear power globally. However, for the satisfaction of every citizen, the government is involved by imposing strict safety and environmental policy besides setting the State goal. While the country is devoted to developing more nuclear power, the citizens sued the Nuclear Regulatory Commission (NRC) over the Three Mile Island nuclear power plant. The Three Mile Island accident occurred in </w:t>
      </w:r>
      <w:r w:rsidRPr="006A3D3B">
        <w:rPr>
          <w:rFonts w:ascii="Times New Roman" w:hAnsi="Times New Roman" w:cs="Times New Roman"/>
          <w:sz w:val="24"/>
          <w:szCs w:val="24"/>
        </w:rPr>
        <w:lastRenderedPageBreak/>
        <w:t>1979, causing no death but claims has it that it resulted in cancer and congenital disabilities. The U.S. Supreme Court view on the claim of the risk associated with the Three Mile Island incident is not fair</w:t>
      </w:r>
      <w:r w:rsidR="00BE7462" w:rsidRPr="006A3D3B">
        <w:rPr>
          <w:rFonts w:ascii="Times New Roman" w:hAnsi="Times New Roman" w:cs="Times New Roman"/>
          <w:sz w:val="24"/>
          <w:szCs w:val="24"/>
        </w:rPr>
        <w:t xml:space="preserve"> (James, 2019).</w:t>
      </w:r>
      <w:r w:rsidRPr="006A3D3B">
        <w:rPr>
          <w:rFonts w:ascii="Times New Roman" w:hAnsi="Times New Roman" w:cs="Times New Roman"/>
          <w:sz w:val="24"/>
          <w:szCs w:val="24"/>
        </w:rPr>
        <w:t xml:space="preserve"> The court assumption regarding the proof is not correct because some children were born with congenital disabilities. Since the incident occurred, the residents still live in fear, and the only way to decrease fear is to employ an agency to convince these individuals.</w:t>
      </w:r>
    </w:p>
    <w:p w:rsidR="00510030" w:rsidRPr="006A3D3B" w:rsidRDefault="00510030" w:rsidP="00510030">
      <w:pPr>
        <w:spacing w:line="480" w:lineRule="auto"/>
        <w:rPr>
          <w:rFonts w:ascii="Times New Roman" w:hAnsi="Times New Roman" w:cs="Times New Roman"/>
          <w:sz w:val="24"/>
          <w:szCs w:val="24"/>
        </w:rPr>
      </w:pPr>
      <w:r w:rsidRPr="006A3D3B">
        <w:rPr>
          <w:rFonts w:ascii="Times New Roman" w:hAnsi="Times New Roman" w:cs="Times New Roman"/>
          <w:sz w:val="24"/>
          <w:szCs w:val="24"/>
        </w:rPr>
        <w:t>E.</w:t>
      </w:r>
    </w:p>
    <w:p w:rsidR="006A3D3B" w:rsidRPr="006A3D3B" w:rsidRDefault="006A3D3B" w:rsidP="006A3D3B">
      <w:pPr>
        <w:spacing w:line="480" w:lineRule="auto"/>
        <w:ind w:firstLine="720"/>
        <w:rPr>
          <w:rFonts w:ascii="Times New Roman" w:hAnsi="Times New Roman" w:cs="Times New Roman"/>
          <w:sz w:val="24"/>
          <w:szCs w:val="24"/>
        </w:rPr>
      </w:pPr>
      <w:r w:rsidRPr="006A3D3B">
        <w:rPr>
          <w:rFonts w:ascii="Times New Roman" w:hAnsi="Times New Roman" w:cs="Times New Roman"/>
          <w:sz w:val="24"/>
          <w:szCs w:val="24"/>
        </w:rPr>
        <w:t>The case 44.2 involving Colvin and the US government states that the accused deposited waste materials at Lady Lu, which later spread to the Salton Sea. Colvin did not obtain a permit from the Clean Water Act (CWA), thereby raising concerns since the seawater is pivotal to aquatic animals and, most importantly, the tourists (James, 2019). To defend himself, Colvin argued that the Salton Sea was a non-navigable water body. The defense was baseless since the CWA confirms that the sea is navigable. He defended himself further by suggesting that a bulldozer is not a point source, and there was no tangible evidence that he placed the waste at the shores, or deposited it in the sea.</w:t>
      </w:r>
    </w:p>
    <w:p w:rsidR="006A3D3B" w:rsidRPr="006A3D3B" w:rsidRDefault="006A3D3B" w:rsidP="006A3D3B">
      <w:pPr>
        <w:spacing w:line="480" w:lineRule="auto"/>
        <w:ind w:firstLine="720"/>
        <w:rPr>
          <w:rFonts w:ascii="Times New Roman" w:hAnsi="Times New Roman" w:cs="Times New Roman"/>
          <w:sz w:val="24"/>
          <w:szCs w:val="24"/>
        </w:rPr>
      </w:pPr>
      <w:r w:rsidRPr="006A3D3B">
        <w:rPr>
          <w:rFonts w:ascii="Times New Roman" w:hAnsi="Times New Roman" w:cs="Times New Roman"/>
          <w:sz w:val="24"/>
          <w:szCs w:val="24"/>
        </w:rPr>
        <w:t xml:space="preserve">If the Salton Sea were not navigable, the CWA would not be much helpful during the judgment since it primarily focuses on open water bodies. Notably, the Act proposes that water bodies should be kept clean since they act as recreational centers and points for swimming. It also suggests that aquatic animals should be protected from pollutants(James, 2019). Based on the case, it is evident that Colvin deposited waste at the shoreline of the Salton Sea, which would quickly find its way into the waters. It is important to note that the accused disregarded the </w:t>
      </w:r>
      <w:r w:rsidRPr="006A3D3B">
        <w:rPr>
          <w:rFonts w:ascii="Times New Roman" w:hAnsi="Times New Roman" w:cs="Times New Roman"/>
          <w:sz w:val="24"/>
          <w:szCs w:val="24"/>
        </w:rPr>
        <w:lastRenderedPageBreak/>
        <w:t xml:space="preserve">stipulations of CWA. Therefore, the jury should focus on the above aspects in a bid to administer justice appropriately.  </w:t>
      </w:r>
    </w:p>
    <w:p w:rsidR="00A141B5" w:rsidRPr="006A3D3B" w:rsidRDefault="00A141B5" w:rsidP="00A141B5">
      <w:pPr>
        <w:spacing w:line="480" w:lineRule="auto"/>
        <w:ind w:firstLine="720"/>
        <w:rPr>
          <w:rFonts w:ascii="Times New Roman" w:hAnsi="Times New Roman" w:cs="Times New Roman"/>
          <w:sz w:val="24"/>
          <w:szCs w:val="24"/>
        </w:rPr>
      </w:pPr>
      <w:r w:rsidRPr="006A3D3B">
        <w:rPr>
          <w:rFonts w:ascii="Times New Roman" w:hAnsi="Times New Roman" w:cs="Times New Roman"/>
          <w:sz w:val="24"/>
          <w:szCs w:val="24"/>
        </w:rPr>
        <w:t>Part Two</w:t>
      </w:r>
    </w:p>
    <w:p w:rsidR="00DC25B5" w:rsidRPr="006A3D3B" w:rsidRDefault="00F43EA5" w:rsidP="00DC25B5">
      <w:pPr>
        <w:pStyle w:val="ListParagraph"/>
        <w:numPr>
          <w:ilvl w:val="0"/>
          <w:numId w:val="3"/>
        </w:numPr>
        <w:spacing w:line="480" w:lineRule="auto"/>
        <w:rPr>
          <w:rFonts w:ascii="Times New Roman" w:hAnsi="Times New Roman" w:cs="Times New Roman"/>
          <w:sz w:val="24"/>
          <w:szCs w:val="24"/>
        </w:rPr>
      </w:pPr>
      <w:r w:rsidRPr="006A3D3B">
        <w:rPr>
          <w:rFonts w:ascii="Times New Roman" w:hAnsi="Times New Roman" w:cs="Times New Roman"/>
          <w:sz w:val="24"/>
          <w:szCs w:val="24"/>
        </w:rPr>
        <w:t>Innocence landowner</w:t>
      </w:r>
    </w:p>
    <w:p w:rsidR="00A141B5" w:rsidRPr="006A3D3B" w:rsidRDefault="00A141B5" w:rsidP="00A141B5">
      <w:pPr>
        <w:spacing w:line="480" w:lineRule="auto"/>
        <w:ind w:firstLine="720"/>
        <w:rPr>
          <w:rFonts w:ascii="Times New Roman" w:hAnsi="Times New Roman" w:cs="Times New Roman"/>
          <w:sz w:val="24"/>
          <w:szCs w:val="24"/>
        </w:rPr>
      </w:pPr>
      <w:r w:rsidRPr="006A3D3B">
        <w:rPr>
          <w:rFonts w:ascii="Times New Roman" w:hAnsi="Times New Roman" w:cs="Times New Roman"/>
          <w:sz w:val="24"/>
          <w:szCs w:val="24"/>
        </w:rPr>
        <w:t xml:space="preserve"> In American history, the owner of contaminated property is always held responsible for its cleanup. The Comprehensive Environmental Response, Compensation and Liability Act enacted in 2002 entails the protection of the new landowner liability as well as issuing subsidy for the cleanup. However, the protection is only limited to landowners who qualify as an innocent landowner, contagious property owners or rather bona fide prospective clients</w:t>
      </w:r>
      <w:r w:rsidR="008F4604" w:rsidRPr="006A3D3B">
        <w:rPr>
          <w:rFonts w:ascii="Times New Roman" w:hAnsi="Times New Roman" w:cs="Times New Roman"/>
          <w:sz w:val="24"/>
          <w:szCs w:val="24"/>
        </w:rPr>
        <w:t xml:space="preserve"> </w:t>
      </w:r>
      <w:r w:rsidR="00BE7462" w:rsidRPr="006A3D3B">
        <w:rPr>
          <w:rFonts w:ascii="Times New Roman" w:hAnsi="Times New Roman" w:cs="Times New Roman"/>
          <w:sz w:val="24"/>
          <w:szCs w:val="24"/>
        </w:rPr>
        <w:t>(James, 2019).</w:t>
      </w:r>
      <w:r w:rsidRPr="006A3D3B">
        <w:rPr>
          <w:rFonts w:ascii="Times New Roman" w:hAnsi="Times New Roman" w:cs="Times New Roman"/>
          <w:sz w:val="24"/>
          <w:szCs w:val="24"/>
        </w:rPr>
        <w:t xml:space="preserve"> Timmons qualifies as an innocent landowner because he purchased the industrial site without the knowledge of its contamination, thus making the court to consider his innocence. The new landowner can only demonstrate freedom from liability to environmental damage by acquiring property with the knowledge of its contamination.</w:t>
      </w:r>
    </w:p>
    <w:p w:rsidR="00F43EA5" w:rsidRPr="006A3D3B" w:rsidRDefault="00F43EA5" w:rsidP="00F43EA5">
      <w:pPr>
        <w:pStyle w:val="ListParagraph"/>
        <w:numPr>
          <w:ilvl w:val="0"/>
          <w:numId w:val="3"/>
        </w:numPr>
        <w:spacing w:line="480" w:lineRule="auto"/>
        <w:rPr>
          <w:rFonts w:ascii="Times New Roman" w:hAnsi="Times New Roman" w:cs="Times New Roman"/>
          <w:sz w:val="24"/>
          <w:szCs w:val="24"/>
        </w:rPr>
      </w:pPr>
      <w:r w:rsidRPr="006A3D3B">
        <w:rPr>
          <w:rFonts w:ascii="Times New Roman" w:hAnsi="Times New Roman" w:cs="Times New Roman"/>
          <w:sz w:val="24"/>
          <w:szCs w:val="24"/>
        </w:rPr>
        <w:t>Avoiding liability for expensive environmental damages</w:t>
      </w:r>
    </w:p>
    <w:p w:rsidR="00784C76" w:rsidRPr="006A3D3B" w:rsidRDefault="00A141B5" w:rsidP="00A141B5">
      <w:pPr>
        <w:spacing w:line="480" w:lineRule="auto"/>
        <w:ind w:firstLine="720"/>
        <w:rPr>
          <w:rFonts w:ascii="Times New Roman" w:hAnsi="Times New Roman" w:cs="Times New Roman"/>
          <w:sz w:val="24"/>
          <w:szCs w:val="24"/>
        </w:rPr>
      </w:pPr>
      <w:r w:rsidRPr="006A3D3B">
        <w:rPr>
          <w:rFonts w:ascii="Times New Roman" w:hAnsi="Times New Roman" w:cs="Times New Roman"/>
          <w:sz w:val="24"/>
          <w:szCs w:val="24"/>
        </w:rPr>
        <w:t xml:space="preserve">The basic focus of a real estate due diligence assessment is the possibility of contamination. The purchasers are usually cautious due to the Comprehensive Environmental Response, Compensation and Liability (CERCLA) act that </w:t>
      </w:r>
      <w:r w:rsidR="00665593" w:rsidRPr="006A3D3B">
        <w:rPr>
          <w:rFonts w:ascii="Times New Roman" w:hAnsi="Times New Roman" w:cs="Times New Roman"/>
          <w:sz w:val="24"/>
          <w:szCs w:val="24"/>
        </w:rPr>
        <w:t>impose</w:t>
      </w:r>
      <w:r w:rsidRPr="006A3D3B">
        <w:rPr>
          <w:rFonts w:ascii="Times New Roman" w:hAnsi="Times New Roman" w:cs="Times New Roman"/>
          <w:sz w:val="24"/>
          <w:szCs w:val="24"/>
        </w:rPr>
        <w:t xml:space="preserve"> a high cost on them to discourse the onsite contamination. Since most states have adopted the liability scheme, it is therefore essential for the purchasers to consider taking environmental due diligence. The environmental due diligence helps the purchaser to realize contamination as well as the cost to address the contamination before purchasing the property. It is also advisable to understand the </w:t>
      </w:r>
      <w:r w:rsidRPr="006A3D3B">
        <w:rPr>
          <w:rFonts w:ascii="Times New Roman" w:hAnsi="Times New Roman" w:cs="Times New Roman"/>
          <w:sz w:val="24"/>
          <w:szCs w:val="24"/>
        </w:rPr>
        <w:lastRenderedPageBreak/>
        <w:t>risk associated with it</w:t>
      </w:r>
      <w:r w:rsidR="00BE7462" w:rsidRPr="006A3D3B">
        <w:rPr>
          <w:rFonts w:ascii="Times New Roman" w:hAnsi="Times New Roman" w:cs="Times New Roman"/>
          <w:sz w:val="24"/>
          <w:szCs w:val="24"/>
        </w:rPr>
        <w:t>(James, 2019).</w:t>
      </w:r>
      <w:r w:rsidRPr="006A3D3B">
        <w:rPr>
          <w:rFonts w:ascii="Times New Roman" w:hAnsi="Times New Roman" w:cs="Times New Roman"/>
          <w:sz w:val="24"/>
          <w:szCs w:val="24"/>
        </w:rPr>
        <w:t xml:space="preserve"> Eventually, every business to purchase a property should undertake environmental due diligence to minimize future problems.</w:t>
      </w:r>
    </w:p>
    <w:p w:rsidR="00784C76" w:rsidRPr="006A3D3B" w:rsidRDefault="00784C76">
      <w:pPr>
        <w:spacing w:line="480" w:lineRule="auto"/>
        <w:ind w:firstLine="720"/>
        <w:rPr>
          <w:rFonts w:ascii="Times New Roman" w:hAnsi="Times New Roman" w:cs="Times New Roman"/>
          <w:sz w:val="24"/>
          <w:szCs w:val="24"/>
        </w:rPr>
      </w:pPr>
    </w:p>
    <w:p w:rsidR="00784C76" w:rsidRPr="006A3D3B" w:rsidRDefault="00784C76">
      <w:pPr>
        <w:spacing w:line="480" w:lineRule="auto"/>
        <w:ind w:firstLine="720"/>
        <w:rPr>
          <w:rFonts w:ascii="Times New Roman" w:hAnsi="Times New Roman" w:cs="Times New Roman"/>
          <w:sz w:val="24"/>
          <w:szCs w:val="24"/>
        </w:rPr>
      </w:pPr>
    </w:p>
    <w:p w:rsidR="00784C76" w:rsidRPr="006A3D3B" w:rsidRDefault="00784C76">
      <w:pPr>
        <w:spacing w:line="480" w:lineRule="auto"/>
        <w:ind w:firstLine="720"/>
        <w:rPr>
          <w:rFonts w:ascii="Times New Roman" w:hAnsi="Times New Roman" w:cs="Times New Roman"/>
          <w:sz w:val="24"/>
          <w:szCs w:val="24"/>
        </w:rPr>
      </w:pPr>
    </w:p>
    <w:p w:rsidR="00A141B5" w:rsidRPr="006A3D3B" w:rsidRDefault="00A141B5">
      <w:pPr>
        <w:rPr>
          <w:rFonts w:ascii="Times New Roman" w:hAnsi="Times New Roman" w:cs="Times New Roman"/>
          <w:sz w:val="24"/>
          <w:szCs w:val="24"/>
        </w:rPr>
      </w:pPr>
      <w:r w:rsidRPr="006A3D3B">
        <w:rPr>
          <w:rFonts w:ascii="Times New Roman" w:hAnsi="Times New Roman" w:cs="Times New Roman"/>
          <w:sz w:val="24"/>
          <w:szCs w:val="24"/>
        </w:rPr>
        <w:br w:type="page"/>
      </w:r>
    </w:p>
    <w:p w:rsidR="00784C76" w:rsidRPr="006A3D3B" w:rsidRDefault="00F23A1E">
      <w:pPr>
        <w:spacing w:line="480" w:lineRule="auto"/>
        <w:ind w:firstLine="720"/>
        <w:jc w:val="center"/>
        <w:rPr>
          <w:rFonts w:ascii="Times New Roman" w:hAnsi="Times New Roman" w:cs="Times New Roman"/>
          <w:sz w:val="24"/>
          <w:szCs w:val="24"/>
        </w:rPr>
      </w:pPr>
      <w:r w:rsidRPr="006A3D3B">
        <w:rPr>
          <w:rFonts w:ascii="Times New Roman" w:hAnsi="Times New Roman" w:cs="Times New Roman"/>
          <w:sz w:val="24"/>
          <w:szCs w:val="24"/>
        </w:rPr>
        <w:lastRenderedPageBreak/>
        <w:t>Reference</w:t>
      </w:r>
    </w:p>
    <w:p w:rsidR="009A61CF" w:rsidRPr="006A3D3B" w:rsidRDefault="009A61CF" w:rsidP="004A4F60">
      <w:pPr>
        <w:spacing w:line="480" w:lineRule="auto"/>
        <w:ind w:left="720" w:hanging="720"/>
        <w:rPr>
          <w:rFonts w:ascii="Times New Roman" w:hAnsi="Times New Roman" w:cs="Times New Roman"/>
          <w:sz w:val="24"/>
          <w:szCs w:val="24"/>
        </w:rPr>
      </w:pPr>
      <w:r w:rsidRPr="006A3D3B">
        <w:rPr>
          <w:rFonts w:ascii="Times New Roman" w:hAnsi="Times New Roman" w:cs="Times New Roman"/>
          <w:sz w:val="24"/>
          <w:szCs w:val="24"/>
        </w:rPr>
        <w:t>Cramer, B. (2008). Commun(icat)ing with Nature: The FCC and Federal Environmental Regulations. SSRN Electronic Journal. doi: 10.2139/ssrn.1691826</w:t>
      </w:r>
    </w:p>
    <w:p w:rsidR="009A61CF" w:rsidRPr="006A3D3B" w:rsidRDefault="009A61CF" w:rsidP="004A4F60">
      <w:pPr>
        <w:spacing w:line="480" w:lineRule="auto"/>
        <w:ind w:left="720" w:hanging="720"/>
        <w:rPr>
          <w:rFonts w:ascii="Times New Roman" w:hAnsi="Times New Roman" w:cs="Times New Roman"/>
          <w:sz w:val="24"/>
          <w:szCs w:val="24"/>
        </w:rPr>
      </w:pPr>
      <w:r w:rsidRPr="006A3D3B">
        <w:rPr>
          <w:rFonts w:ascii="Times New Roman" w:hAnsi="Times New Roman" w:cs="Times New Roman"/>
          <w:sz w:val="24"/>
          <w:szCs w:val="24"/>
        </w:rPr>
        <w:t>Gallo, B. (2016). Defining the Violation: How Inconsistent Interpretations of the Fair Debt Collection Practices Act's Statute of Limitations Provision Rub Salt in the Wounds of Injured Consumers. SSRN Electronic Journal. doi: 10.2139/ssrn.2717708</w:t>
      </w:r>
    </w:p>
    <w:p w:rsidR="009A61CF" w:rsidRPr="006A3D3B" w:rsidRDefault="009A61CF" w:rsidP="00BE7462">
      <w:pPr>
        <w:spacing w:line="480" w:lineRule="auto"/>
        <w:rPr>
          <w:rFonts w:ascii="Times New Roman" w:hAnsi="Times New Roman" w:cs="Times New Roman"/>
          <w:sz w:val="24"/>
          <w:szCs w:val="24"/>
        </w:rPr>
      </w:pPr>
      <w:r w:rsidRPr="006A3D3B">
        <w:rPr>
          <w:rFonts w:ascii="Times New Roman" w:hAnsi="Times New Roman" w:cs="Times New Roman"/>
          <w:sz w:val="24"/>
          <w:szCs w:val="24"/>
        </w:rPr>
        <w:t xml:space="preserve">James, M. (2019). Business Law. </w:t>
      </w:r>
      <w:r w:rsidRPr="006A3D3B">
        <w:rPr>
          <w:rFonts w:ascii="Times New Roman" w:hAnsi="Times New Roman" w:cs="Times New Roman"/>
          <w:i/>
          <w:sz w:val="24"/>
          <w:szCs w:val="24"/>
        </w:rPr>
        <w:t xml:space="preserve">BVT Publishing. </w:t>
      </w:r>
    </w:p>
    <w:p w:rsidR="009A61CF" w:rsidRPr="006A3D3B" w:rsidRDefault="009A61CF" w:rsidP="004A4F60">
      <w:pPr>
        <w:spacing w:line="480" w:lineRule="auto"/>
        <w:ind w:left="720" w:hanging="720"/>
        <w:rPr>
          <w:rFonts w:ascii="Times New Roman" w:hAnsi="Times New Roman" w:cs="Times New Roman"/>
          <w:sz w:val="24"/>
          <w:szCs w:val="24"/>
        </w:rPr>
      </w:pPr>
      <w:r w:rsidRPr="006A3D3B">
        <w:rPr>
          <w:rFonts w:ascii="Times New Roman" w:hAnsi="Times New Roman" w:cs="Times New Roman"/>
          <w:sz w:val="24"/>
          <w:szCs w:val="24"/>
        </w:rPr>
        <w:t>Kim, S. (2015). Equality of Immigrants in Credit Transaction : A Study on the Equal Credit Opportunity Act in the United States. The Journal Of Migration &amp; Society, 8(2), 183. doi: 10.15685/jms.2015.08.8.2.183</w:t>
      </w:r>
    </w:p>
    <w:p w:rsidR="009A61CF" w:rsidRPr="006A3D3B" w:rsidRDefault="009A61CF" w:rsidP="004A4F60">
      <w:pPr>
        <w:spacing w:line="480" w:lineRule="auto"/>
        <w:ind w:left="720" w:hanging="720"/>
        <w:rPr>
          <w:rFonts w:ascii="Times New Roman" w:hAnsi="Times New Roman" w:cs="Times New Roman"/>
          <w:sz w:val="24"/>
          <w:szCs w:val="24"/>
        </w:rPr>
      </w:pPr>
      <w:r w:rsidRPr="006A3D3B">
        <w:rPr>
          <w:rFonts w:ascii="Times New Roman" w:hAnsi="Times New Roman" w:cs="Times New Roman"/>
          <w:sz w:val="24"/>
          <w:szCs w:val="24"/>
        </w:rPr>
        <w:t>Sickler, A. (2016). The (Un)Fair Credit Reporting Act. SSRN Electronic Journal. doi: 10.2139/ssrn.2726806</w:t>
      </w:r>
    </w:p>
    <w:p w:rsidR="00784C76" w:rsidRPr="006A3D3B" w:rsidRDefault="00784C76">
      <w:pPr>
        <w:spacing w:line="480" w:lineRule="auto"/>
        <w:rPr>
          <w:rFonts w:ascii="Times New Roman" w:hAnsi="Times New Roman" w:cs="Times New Roman"/>
          <w:sz w:val="24"/>
          <w:szCs w:val="24"/>
        </w:rPr>
      </w:pPr>
    </w:p>
    <w:sectPr w:rsidR="00784C76" w:rsidRPr="006A3D3B" w:rsidSect="00FE75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397D" w:rsidRDefault="00A8397D">
      <w:pPr>
        <w:spacing w:after="0" w:line="240" w:lineRule="auto"/>
      </w:pPr>
      <w:r>
        <w:separator/>
      </w:r>
    </w:p>
  </w:endnote>
  <w:endnote w:type="continuationSeparator" w:id="1">
    <w:p w:rsidR="00A8397D" w:rsidRDefault="00A839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397D" w:rsidRDefault="00A8397D">
      <w:pPr>
        <w:spacing w:after="0" w:line="240" w:lineRule="auto"/>
      </w:pPr>
      <w:r>
        <w:separator/>
      </w:r>
    </w:p>
  </w:footnote>
  <w:footnote w:type="continuationSeparator" w:id="1">
    <w:p w:rsidR="00A8397D" w:rsidRDefault="00A839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76" w:rsidRDefault="00F23A1E">
    <w:pPr>
      <w:pStyle w:val="Header"/>
      <w:spacing w:line="480" w:lineRule="auto"/>
      <w:jc w:val="right"/>
    </w:pPr>
    <w:r>
      <w:rPr>
        <w:rFonts w:ascii="Times New Roman" w:hAnsi="Times New Roman" w:cs="Times New Roman"/>
        <w:sz w:val="24"/>
        <w:szCs w:val="24"/>
      </w:rPr>
      <w:t xml:space="preserve">LAWS PROTECTING CONSUMERS                                                                                    </w:t>
    </w:r>
    <w:r w:rsidR="001D4CDF">
      <w:fldChar w:fldCharType="begin"/>
    </w:r>
    <w:r>
      <w:instrText xml:space="preserve"> PAGE   \* MERGEFORMAT </w:instrText>
    </w:r>
    <w:r w:rsidR="001D4CDF">
      <w:fldChar w:fldCharType="separate"/>
    </w:r>
    <w:r w:rsidR="006A3D3B">
      <w:rPr>
        <w:noProof/>
      </w:rPr>
      <w:t>2</w:t>
    </w:r>
    <w:r w:rsidR="001D4CDF">
      <w:rPr>
        <w:noProof/>
      </w:rPr>
      <w:fldChar w:fldCharType="end"/>
    </w:r>
  </w:p>
  <w:p w:rsidR="00784C76" w:rsidRDefault="00784C7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76" w:rsidRPr="00BE7462" w:rsidRDefault="00F23A1E">
    <w:pPr>
      <w:pStyle w:val="Header"/>
      <w:spacing w:line="480" w:lineRule="auto"/>
      <w:jc w:val="right"/>
      <w:rPr>
        <w:rFonts w:ascii="Times New Roman" w:hAnsi="Times New Roman" w:cs="Times New Roman"/>
        <w:sz w:val="24"/>
        <w:szCs w:val="24"/>
      </w:rPr>
    </w:pPr>
    <w:r w:rsidRPr="00BE7462">
      <w:rPr>
        <w:rFonts w:ascii="Times New Roman" w:hAnsi="Times New Roman" w:cs="Times New Roman"/>
        <w:sz w:val="24"/>
        <w:szCs w:val="24"/>
      </w:rPr>
      <w:t xml:space="preserve">Running head: LAWS PROTECTING CONSUMERS                                                              </w:t>
    </w:r>
    <w:r w:rsidR="001D4CDF" w:rsidRPr="00BE7462">
      <w:rPr>
        <w:rFonts w:ascii="Times New Roman" w:hAnsi="Times New Roman" w:cs="Times New Roman"/>
        <w:sz w:val="24"/>
        <w:szCs w:val="24"/>
      </w:rPr>
      <w:fldChar w:fldCharType="begin"/>
    </w:r>
    <w:r w:rsidRPr="00BE7462">
      <w:rPr>
        <w:rFonts w:ascii="Times New Roman" w:hAnsi="Times New Roman" w:cs="Times New Roman"/>
        <w:sz w:val="24"/>
        <w:szCs w:val="24"/>
      </w:rPr>
      <w:instrText xml:space="preserve"> PAGE   \* MERGEFORMAT </w:instrText>
    </w:r>
    <w:r w:rsidR="001D4CDF" w:rsidRPr="00BE7462">
      <w:rPr>
        <w:rFonts w:ascii="Times New Roman" w:hAnsi="Times New Roman" w:cs="Times New Roman"/>
        <w:sz w:val="24"/>
        <w:szCs w:val="24"/>
      </w:rPr>
      <w:fldChar w:fldCharType="separate"/>
    </w:r>
    <w:r w:rsidR="006A3D3B">
      <w:rPr>
        <w:rFonts w:ascii="Times New Roman" w:hAnsi="Times New Roman" w:cs="Times New Roman"/>
        <w:noProof/>
        <w:sz w:val="24"/>
        <w:szCs w:val="24"/>
      </w:rPr>
      <w:t>1</w:t>
    </w:r>
    <w:r w:rsidR="001D4CDF" w:rsidRPr="00BE7462">
      <w:rPr>
        <w:rFonts w:ascii="Times New Roman" w:hAnsi="Times New Roman" w:cs="Times New Roman"/>
        <w:noProof/>
        <w:sz w:val="24"/>
        <w:szCs w:val="24"/>
      </w:rPr>
      <w:fldChar w:fldCharType="end"/>
    </w:r>
  </w:p>
  <w:p w:rsidR="00784C76" w:rsidRDefault="00784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831B4"/>
    <w:multiLevelType w:val="hybridMultilevel"/>
    <w:tmpl w:val="76B0B43A"/>
    <w:lvl w:ilvl="0" w:tplc="F4C493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73A431D"/>
    <w:multiLevelType w:val="hybridMultilevel"/>
    <w:tmpl w:val="830CE72E"/>
    <w:lvl w:ilvl="0" w:tplc="1FBA9D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E791A23"/>
    <w:multiLevelType w:val="hybridMultilevel"/>
    <w:tmpl w:val="BA3ABE0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84C76"/>
    <w:rsid w:val="00195946"/>
    <w:rsid w:val="001D4CDF"/>
    <w:rsid w:val="00486F8B"/>
    <w:rsid w:val="004A4F60"/>
    <w:rsid w:val="00510030"/>
    <w:rsid w:val="00563963"/>
    <w:rsid w:val="00651CF5"/>
    <w:rsid w:val="00665593"/>
    <w:rsid w:val="0067314D"/>
    <w:rsid w:val="006A3D3B"/>
    <w:rsid w:val="00784C76"/>
    <w:rsid w:val="00811C12"/>
    <w:rsid w:val="00861D61"/>
    <w:rsid w:val="008F4604"/>
    <w:rsid w:val="009A61CF"/>
    <w:rsid w:val="00A141B5"/>
    <w:rsid w:val="00A8397D"/>
    <w:rsid w:val="00BE7462"/>
    <w:rsid w:val="00DC25B5"/>
    <w:rsid w:val="00F23A1E"/>
    <w:rsid w:val="00F43EA5"/>
    <w:rsid w:val="00F930AA"/>
    <w:rsid w:val="00FE75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5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5ED"/>
    <w:pPr>
      <w:ind w:left="720"/>
      <w:contextualSpacing/>
    </w:pPr>
  </w:style>
  <w:style w:type="paragraph" w:styleId="Header">
    <w:name w:val="header"/>
    <w:basedOn w:val="Normal"/>
    <w:link w:val="HeaderChar"/>
    <w:uiPriority w:val="99"/>
    <w:rsid w:val="00FE75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5ED"/>
  </w:style>
  <w:style w:type="paragraph" w:styleId="Footer">
    <w:name w:val="footer"/>
    <w:basedOn w:val="Normal"/>
    <w:link w:val="FooterChar"/>
    <w:uiPriority w:val="99"/>
    <w:rsid w:val="00FE75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5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1483</Words>
  <Characters>8455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dc:creator>
  <cp:lastModifiedBy>ADM</cp:lastModifiedBy>
  <cp:revision>2</cp:revision>
  <dcterms:created xsi:type="dcterms:W3CDTF">2020-01-25T10:10:00Z</dcterms:created>
  <dcterms:modified xsi:type="dcterms:W3CDTF">2020-01-25T10:10:00Z</dcterms:modified>
</cp:coreProperties>
</file>